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841" w:rsidRDefault="002D0710">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w:t>
      </w:r>
      <w:r>
        <w:rPr>
          <w:rFonts w:ascii="Arial" w:hAnsi="Arial" w:cs="Arial" w:hint="eastAsia"/>
          <w:sz w:val="22"/>
        </w:rPr>
        <w:t>10</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t xml:space="preserve"> R1-2206022</w:t>
      </w:r>
    </w:p>
    <w:p w:rsidR="00D20013" w:rsidRPr="00EC7EB4" w:rsidRDefault="00D20013" w:rsidP="00D20013">
      <w:pPr>
        <w:pStyle w:val="3GPPHeader"/>
        <w:tabs>
          <w:tab w:val="clear" w:pos="1800"/>
          <w:tab w:val="left" w:pos="1580"/>
        </w:tabs>
        <w:snapToGrid w:val="0"/>
        <w:rPr>
          <w:rFonts w:cs="Arial"/>
          <w:bCs/>
          <w:sz w:val="22"/>
        </w:rPr>
      </w:pPr>
      <w:bookmarkStart w:id="2" w:name="_GoBack"/>
      <w:r w:rsidRPr="00EC7EB4">
        <w:rPr>
          <w:rFonts w:cs="Arial"/>
          <w:bCs/>
          <w:sz w:val="22"/>
        </w:rPr>
        <w:t>Toulouse, France, August 22nd – 26th, 2022</w:t>
      </w:r>
    </w:p>
    <w:bookmarkEnd w:id="2"/>
    <w:p w:rsidR="00790841" w:rsidRPr="00D20013" w:rsidRDefault="00790841">
      <w:pPr>
        <w:pStyle w:val="3GPPHeader"/>
        <w:snapToGrid w:val="0"/>
        <w:rPr>
          <w:rFonts w:cs="Arial"/>
          <w:sz w:val="22"/>
        </w:rPr>
      </w:pPr>
    </w:p>
    <w:p w:rsidR="00790841" w:rsidRDefault="002D0710">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790841" w:rsidRDefault="002D0710">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rsidR="00790841" w:rsidRDefault="002D0710">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12.3</w:t>
      </w:r>
    </w:p>
    <w:p w:rsidR="00790841" w:rsidRDefault="002D0710">
      <w:pPr>
        <w:pBdr>
          <w:bottom w:val="single" w:sz="6" w:space="1" w:color="auto"/>
        </w:pBdr>
        <w:snapToGrid w:val="0"/>
        <w:jc w:val="both"/>
        <w:rPr>
          <w:rFonts w:ascii="Arial" w:hAnsi="Arial"/>
          <w:b/>
        </w:rPr>
      </w:pPr>
      <w:r>
        <w:rPr>
          <w:rFonts w:ascii="Arial" w:hAnsi="Arial"/>
          <w:b/>
        </w:rPr>
        <w:t>Document for: Discussion</w:t>
      </w:r>
      <w:bookmarkEnd w:id="0"/>
      <w:bookmarkEnd w:id="1"/>
    </w:p>
    <w:p w:rsidR="00790841" w:rsidRDefault="002D071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790841" w:rsidRDefault="002D0710">
      <w:p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RAN1#109e meeting, there are following agreements on disabling of HARQ feedback for NTN.</w:t>
      </w:r>
    </w:p>
    <w:tbl>
      <w:tblPr>
        <w:tblStyle w:val="ac"/>
        <w:tblW w:w="0" w:type="auto"/>
        <w:tblInd w:w="528" w:type="dxa"/>
        <w:tblLook w:val="04A0" w:firstRow="1" w:lastRow="0" w:firstColumn="1" w:lastColumn="0" w:noHBand="0" w:noVBand="1"/>
      </w:tblPr>
      <w:tblGrid>
        <w:gridCol w:w="8575"/>
      </w:tblGrid>
      <w:tr w:rsidR="00790841">
        <w:tc>
          <w:tcPr>
            <w:tcW w:w="8575" w:type="dxa"/>
          </w:tcPr>
          <w:p w:rsidR="00790841" w:rsidRDefault="002D071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highlight w:val="green"/>
                <w:lang w:val="en-GB"/>
              </w:rPr>
              <w:t>Agreement</w:t>
            </w:r>
          </w:p>
          <w:p w:rsidR="00790841" w:rsidRDefault="002D071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color w:val="000000"/>
                <w:sz w:val="20"/>
                <w:szCs w:val="20"/>
                <w:lang w:val="en-GB"/>
              </w:rPr>
              <w:t xml:space="preserve">For IoT NTN, to configure/indicate </w:t>
            </w:r>
            <w:r>
              <w:rPr>
                <w:rFonts w:ascii="Times New Roman" w:eastAsia="Batang" w:hAnsi="Times New Roman" w:cs="Times New Roman"/>
                <w:sz w:val="20"/>
                <w:szCs w:val="20"/>
                <w:lang w:val="en-GB"/>
              </w:rPr>
              <w:t xml:space="preserve">enabling/disabling on </w:t>
            </w:r>
            <w:r>
              <w:rPr>
                <w:rFonts w:ascii="Times New Roman" w:eastAsia="Batang" w:hAnsi="Times New Roman" w:cs="Times New Roman"/>
                <w:sz w:val="20"/>
                <w:szCs w:val="20"/>
                <w:lang w:val="en-GB" w:eastAsia="en-US"/>
              </w:rPr>
              <w:t xml:space="preserve">HARQ feedback </w:t>
            </w:r>
            <w:r>
              <w:rPr>
                <w:rFonts w:ascii="Times New Roman" w:eastAsia="Batang" w:hAnsi="Times New Roman" w:cs="Times New Roman"/>
                <w:sz w:val="20"/>
                <w:szCs w:val="20"/>
                <w:lang w:val="en-GB"/>
              </w:rPr>
              <w:t>for downlink transmission, one or more of the following options can be considered:</w:t>
            </w:r>
          </w:p>
          <w:p w:rsidR="00790841" w:rsidRDefault="002D0710">
            <w:pPr>
              <w:numPr>
                <w:ilvl w:val="0"/>
                <w:numId w:val="5"/>
              </w:numPr>
              <w:overflowPunct w:val="0"/>
              <w:autoSpaceDE w:val="0"/>
              <w:autoSpaceDN w:val="0"/>
              <w:adjustRightInd w:val="0"/>
              <w:spacing w:after="0"/>
              <w:ind w:left="714" w:hanging="357"/>
              <w:contextualSpacing/>
              <w:textAlignment w:val="baseline"/>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Option 1: per HARQ process via UE specific RRC signaling</w:t>
            </w:r>
          </w:p>
          <w:p w:rsidR="00790841" w:rsidRDefault="002D0710">
            <w:pPr>
              <w:numPr>
                <w:ilvl w:val="0"/>
                <w:numId w:val="5"/>
              </w:numPr>
              <w:overflowPunct w:val="0"/>
              <w:autoSpaceDE w:val="0"/>
              <w:autoSpaceDN w:val="0"/>
              <w:adjustRightInd w:val="0"/>
              <w:spacing w:after="0"/>
              <w:ind w:left="714" w:hanging="357"/>
              <w:contextualSpacing/>
              <w:textAlignment w:val="baseline"/>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Option 2: per HARQ process via SIB signaling</w:t>
            </w:r>
          </w:p>
          <w:p w:rsidR="00790841" w:rsidRDefault="002D0710">
            <w:pPr>
              <w:numPr>
                <w:ilvl w:val="0"/>
                <w:numId w:val="5"/>
              </w:numPr>
              <w:overflowPunct w:val="0"/>
              <w:autoSpaceDE w:val="0"/>
              <w:autoSpaceDN w:val="0"/>
              <w:adjustRightInd w:val="0"/>
              <w:spacing w:after="0"/>
              <w:ind w:left="714" w:hanging="357"/>
              <w:contextualSpacing/>
              <w:textAlignment w:val="baseline"/>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Option 3: explicitly indicated by DCI (e.g., new field or reusing existing field)</w:t>
            </w:r>
          </w:p>
          <w:p w:rsidR="00790841" w:rsidRDefault="002D0710">
            <w:pPr>
              <w:numPr>
                <w:ilvl w:val="0"/>
                <w:numId w:val="5"/>
              </w:numPr>
              <w:overflowPunct w:val="0"/>
              <w:autoSpaceDE w:val="0"/>
              <w:autoSpaceDN w:val="0"/>
              <w:adjustRightInd w:val="0"/>
              <w:spacing w:after="0"/>
              <w:ind w:left="714" w:hanging="357"/>
              <w:contextualSpacing/>
              <w:textAlignment w:val="baseline"/>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Option 4: implicitly determined by existing configured/indicated parameter(s) (e.g., repetition number, TBS)</w:t>
            </w:r>
          </w:p>
          <w:p w:rsidR="00790841" w:rsidRDefault="002D0710">
            <w:pPr>
              <w:numPr>
                <w:ilvl w:val="0"/>
                <w:numId w:val="5"/>
              </w:numPr>
              <w:overflowPunct w:val="0"/>
              <w:autoSpaceDE w:val="0"/>
              <w:autoSpaceDN w:val="0"/>
              <w:adjustRightInd w:val="0"/>
              <w:spacing w:after="0"/>
              <w:ind w:left="714" w:hanging="357"/>
              <w:contextualSpacing/>
              <w:textAlignment w:val="baseline"/>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Option 5: per HARQ process via MAC CE</w:t>
            </w:r>
          </w:p>
          <w:p w:rsidR="00790841" w:rsidRDefault="002D0710">
            <w:pPr>
              <w:numPr>
                <w:ilvl w:val="0"/>
                <w:numId w:val="5"/>
              </w:numPr>
              <w:overflowPunct w:val="0"/>
              <w:autoSpaceDE w:val="0"/>
              <w:autoSpaceDN w:val="0"/>
              <w:adjustRightInd w:val="0"/>
              <w:spacing w:after="0"/>
              <w:ind w:left="714" w:hanging="357"/>
              <w:contextualSpacing/>
              <w:textAlignment w:val="baseline"/>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ja-JP"/>
              </w:rPr>
              <w:t>Other options or combinations are not excluded</w:t>
            </w:r>
          </w:p>
          <w:p w:rsidR="00790841" w:rsidRDefault="002D0710">
            <w:pPr>
              <w:spacing w:after="0" w:line="240" w:lineRule="auto"/>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Note: Option(s) for eMTC and NBIoT can be separately discussed.</w:t>
            </w:r>
          </w:p>
          <w:p w:rsidR="00790841" w:rsidRDefault="00790841">
            <w:pPr>
              <w:spacing w:after="0" w:line="240" w:lineRule="auto"/>
              <w:rPr>
                <w:rFonts w:ascii="Times New Roman" w:eastAsia="Batang" w:hAnsi="Times New Roman" w:cs="Times New Roman"/>
                <w:bCs/>
                <w:sz w:val="20"/>
                <w:szCs w:val="20"/>
                <w:lang w:val="en-GB"/>
              </w:rPr>
            </w:pPr>
          </w:p>
          <w:p w:rsidR="00790841" w:rsidRDefault="002D0710">
            <w:pPr>
              <w:spacing w:after="0" w:line="240" w:lineRule="auto"/>
              <w:rPr>
                <w:rFonts w:ascii="Times New Roman" w:eastAsia="Batang" w:hAnsi="Times New Roman" w:cs="Times New Roman"/>
                <w:bCs/>
                <w:sz w:val="20"/>
                <w:szCs w:val="20"/>
                <w:lang w:val="en-GB" w:eastAsia="en-US"/>
              </w:rPr>
            </w:pPr>
            <w:r>
              <w:rPr>
                <w:rFonts w:ascii="Times New Roman" w:eastAsia="Batang" w:hAnsi="Times New Roman" w:cs="Times New Roman"/>
                <w:bCs/>
                <w:color w:val="000000"/>
                <w:sz w:val="20"/>
                <w:szCs w:val="20"/>
                <w:highlight w:val="green"/>
                <w:lang w:val="en-GB"/>
              </w:rPr>
              <w:t>Agreement</w:t>
            </w:r>
          </w:p>
          <w:p w:rsidR="00790841" w:rsidRDefault="002D0710">
            <w:pPr>
              <w:spacing w:after="0" w:line="240" w:lineRule="auto"/>
              <w:rPr>
                <w:rFonts w:ascii="Times New Roman" w:eastAsia="Batang" w:hAnsi="Times New Roman" w:cs="Times New Roman"/>
                <w:color w:val="000000"/>
                <w:sz w:val="20"/>
                <w:szCs w:val="20"/>
                <w:lang w:val="en-GB"/>
              </w:rPr>
            </w:pPr>
            <w:r>
              <w:rPr>
                <w:rFonts w:ascii="Times New Roman" w:eastAsia="Batang" w:hAnsi="Times New Roman" w:cs="Times New Roman"/>
                <w:color w:val="000000"/>
                <w:sz w:val="20"/>
                <w:szCs w:val="20"/>
                <w:lang w:val="en-GB"/>
              </w:rPr>
              <w:t>For IoT NTN, further study the potential issues due to enabling/disabling on HARQ feedback for downlink transmission</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Issue A: SPS PDSCH</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Issue B: (N)PDSCH/(N)PDCCH scheduling restriction</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Issue C: HARQ feedback for scheduling multiple TB</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Issue D: HARQ bundling for eMTC HD-FDD</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Issue F: NPRACH capacity</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Issue G: Serving cell/satellite change during data transfer (FFS: for eMTC and/or NB-IoT)</w:t>
            </w:r>
          </w:p>
          <w:p w:rsidR="00790841" w:rsidRDefault="002D0710">
            <w:pPr>
              <w:numPr>
                <w:ilvl w:val="0"/>
                <w:numId w:val="6"/>
              </w:numPr>
              <w:spacing w:after="0"/>
              <w:ind w:left="720" w:hanging="360"/>
              <w:rPr>
                <w:rFonts w:ascii="Times New Roman" w:eastAsia="MS PGothic" w:hAnsi="Times New Roman" w:cs="Times New Roman"/>
                <w:sz w:val="20"/>
                <w:szCs w:val="20"/>
                <w:lang w:eastAsia="ja-JP"/>
              </w:rPr>
            </w:pPr>
            <w:r>
              <w:rPr>
                <w:rFonts w:ascii="Times New Roman" w:eastAsia="MS PGothic" w:hAnsi="Times New Roman" w:cs="Times New Roman"/>
                <w:sz w:val="20"/>
                <w:szCs w:val="20"/>
                <w:lang w:eastAsia="ja-JP"/>
              </w:rPr>
              <w:t>Other issues are not excluded</w:t>
            </w:r>
          </w:p>
          <w:p w:rsidR="00790841" w:rsidRDefault="002D0710">
            <w:pPr>
              <w:spacing w:after="0" w:line="240" w:lineRule="auto"/>
              <w:rPr>
                <w:rFonts w:eastAsia="宋体"/>
                <w:szCs w:val="20"/>
              </w:rPr>
            </w:pPr>
            <w:r>
              <w:rPr>
                <w:rFonts w:ascii="Times New Roman" w:eastAsia="Batang" w:hAnsi="Times New Roman" w:cs="Times New Roman"/>
                <w:sz w:val="20"/>
                <w:szCs w:val="20"/>
                <w:lang w:val="en-GB"/>
              </w:rPr>
              <w:t>Note: The “Issues” in common for eMTC and NB-IoT can be separately discussed.</w:t>
            </w:r>
          </w:p>
        </w:tc>
      </w:tr>
    </w:tbl>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the solutions to </w:t>
      </w:r>
      <w:r>
        <w:rPr>
          <w:rFonts w:ascii="Times New Roman" w:eastAsia="宋体" w:hAnsi="Times New Roman" w:cs="Times New Roman" w:hint="eastAsia"/>
          <w:sz w:val="20"/>
          <w:szCs w:val="20"/>
        </w:rPr>
        <w:t>configure the HARQ feedback enabling/disabling</w:t>
      </w:r>
      <w:r>
        <w:rPr>
          <w:rFonts w:ascii="Times New Roman" w:eastAsia="宋体" w:hAnsi="Times New Roman" w:cs="Times New Roman"/>
          <w:sz w:val="20"/>
          <w:szCs w:val="20"/>
        </w:rPr>
        <w:t xml:space="preserve"> and potential issues are elaborated with corresponding analysis. </w:t>
      </w:r>
    </w:p>
    <w:p w:rsidR="00790841" w:rsidRDefault="002D071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In Rel-17 SI for IoT-NTN, the study to support the HARQ feedback disabling is conducted without normative works in Rel-17 due to the limited time. Similar to the NR-NTN, the benefits for such mechanism is 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rate for IoT case to enable more service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In this release, as shown in the endorsed WI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eastAsia="宋体" w:hAnsi="Times New Roman" w:cs="Times New Roman"/>
          <w:sz w:val="20"/>
          <w:szCs w:val="20"/>
        </w:rPr>
        <w:t xml:space="preserve">, specify the mechanism to enable this functionality in IoT-NTN is expected. Regarding on the solutions </w:t>
      </w:r>
      <w:r>
        <w:rPr>
          <w:rFonts w:ascii="Times New Roman" w:eastAsia="宋体" w:hAnsi="Times New Roman" w:cs="Times New Roman" w:hint="eastAsia"/>
          <w:sz w:val="20"/>
          <w:szCs w:val="20"/>
        </w:rPr>
        <w:t xml:space="preserve">to configure the HARQ feedback enabling/disabling, </w:t>
      </w:r>
      <w:r>
        <w:rPr>
          <w:rFonts w:ascii="Times New Roman" w:eastAsia="宋体" w:hAnsi="Times New Roman" w:cs="Times New Roman"/>
          <w:sz w:val="20"/>
          <w:szCs w:val="20"/>
        </w:rPr>
        <w:t xml:space="preserve">in general, </w:t>
      </w:r>
      <w:r>
        <w:rPr>
          <w:rFonts w:ascii="Times New Roman" w:eastAsia="宋体" w:hAnsi="Times New Roman" w:cs="Times New Roman" w:hint="eastAsia"/>
          <w:sz w:val="20"/>
          <w:szCs w:val="20"/>
        </w:rPr>
        <w:t>5 options were agreed for further consideration in the RAN1#109e meeting, refer to the introduction.</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Rel-17 NR-NTN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_Ref1095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there is following agreement for disabling on HARQ feedback:</w:t>
      </w:r>
    </w:p>
    <w:p w:rsidR="00790841" w:rsidRDefault="002D0710">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790841" w:rsidRDefault="002D0710">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Enabling/disabling on HARQ feedback for downlink transmission should be at least configurable per HARQ process via UE specific RRC signaling</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Based on above agreement, it can be observed that enabling/disabling on HARQ feedback is configurable per HARQ process via UE specific RRC signaling in NR-NTN, i.e., option 1 has been adopted in NR-NTN. </w:t>
      </w:r>
      <w:r>
        <w:rPr>
          <w:rFonts w:ascii="Times New Roman" w:eastAsia="宋体" w:hAnsi="Times New Roman" w:cs="Times New Roman" w:hint="eastAsia"/>
          <w:sz w:val="20"/>
          <w:szCs w:val="20"/>
        </w:rPr>
        <w:lastRenderedPageBreak/>
        <w:t xml:space="preserve">Furthermore, the channel condition in IoT-NTN is more stable than NR-NTN since most of UEs are stationary. Introducing new dynamic configuration method for HARQ feedback disabling is not needed. Therefore, directly reusing the NR-NTN method, i.e., option 1, is preferred. </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whether all HARQ processes can be disabled was also discussed in RAN1#109e. Based on the discussions in NR-NTN, IoT-NTN with option 1 configuration can give the network enough flexibility to disable all or some of the feedback. A smart network node can properly determine </w:t>
      </w:r>
      <w:r>
        <w:rPr>
          <w:rFonts w:ascii="Times New Roman" w:eastAsia="宋体" w:hAnsi="Times New Roman" w:cs="Times New Roman"/>
          <w:sz w:val="20"/>
          <w:szCs w:val="20"/>
        </w:rPr>
        <w:t>w</w:t>
      </w:r>
      <w:r>
        <w:rPr>
          <w:rFonts w:ascii="Times New Roman" w:eastAsia="宋体" w:hAnsi="Times New Roman" w:cs="Times New Roman" w:hint="eastAsia"/>
          <w:sz w:val="20"/>
          <w:szCs w:val="20"/>
        </w:rPr>
        <w:t>hether to disable all HARQ processes according to the reliability requirements, the throughput performance, etc.</w:t>
      </w:r>
    </w:p>
    <w:p w:rsidR="00790841" w:rsidRDefault="002D0710">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 xml:space="preserve">Reuse the HARQ feedback disabling solution agreed in Rel-17 NR-NTN, </w:t>
      </w:r>
      <w:r>
        <w:rPr>
          <w:rFonts w:ascii="Times New Roman" w:eastAsia="宋体" w:hAnsi="Times New Roman"/>
          <w:bCs/>
          <w:i/>
          <w:sz w:val="20"/>
          <w:szCs w:val="20"/>
        </w:rPr>
        <w:t>i.e.</w:t>
      </w:r>
      <w:r>
        <w:rPr>
          <w:rFonts w:ascii="Times New Roman" w:eastAsia="宋体" w:hAnsi="Times New Roman" w:hint="eastAsia"/>
          <w:bCs/>
          <w:i/>
          <w:sz w:val="20"/>
          <w:szCs w:val="20"/>
        </w:rPr>
        <w:t>, enabling/disabling on HARQ feedback for downlink transmission is configurable per HARQ process via UE specific RRC signaling, as option 1.</w:t>
      </w:r>
    </w:p>
    <w:p w:rsidR="00790841" w:rsidRDefault="002D0710">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The decision on whether and how many </w:t>
      </w:r>
      <w:r>
        <w:rPr>
          <w:rFonts w:ascii="Times New Roman" w:eastAsia="宋体" w:hAnsi="Times New Roman" w:hint="eastAsia"/>
          <w:bCs/>
          <w:i/>
          <w:sz w:val="20"/>
          <w:szCs w:val="20"/>
        </w:rPr>
        <w:t xml:space="preserve">HARQ processes </w:t>
      </w:r>
      <w:r>
        <w:rPr>
          <w:rFonts w:ascii="Times New Roman" w:eastAsia="宋体" w:hAnsi="Times New Roman"/>
          <w:bCs/>
          <w:i/>
          <w:sz w:val="20"/>
          <w:szCs w:val="20"/>
        </w:rPr>
        <w:t xml:space="preserve">are disabled </w:t>
      </w:r>
      <w:r>
        <w:rPr>
          <w:rFonts w:ascii="Times New Roman" w:eastAsia="宋体" w:hAnsi="Times New Roman" w:hint="eastAsia"/>
          <w:bCs/>
          <w:i/>
          <w:sz w:val="20"/>
          <w:szCs w:val="20"/>
        </w:rPr>
        <w:t>depends on network configuration.</w:t>
      </w:r>
    </w:p>
    <w:p w:rsidR="00790841" w:rsidRDefault="002D071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Further study on potential issues</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Potential issues mentioned in this section are related to HARQ disabling and corresponding standard impacts/enhancements. Since the HARQ feedback disable design is still under discussion, we only state our views on the main issues.</w:t>
      </w:r>
    </w:p>
    <w:p w:rsidR="00790841" w:rsidRDefault="002D0710">
      <w:pPr>
        <w:pStyle w:val="2"/>
        <w:numPr>
          <w:ilvl w:val="1"/>
          <w:numId w:val="1"/>
        </w:numPr>
        <w:spacing w:before="0" w:after="0"/>
        <w:ind w:left="851" w:hanging="431"/>
        <w:rPr>
          <w:rFonts w:eastAsia="黑体" w:cs="Times New Roman"/>
          <w:b/>
          <w:bCs/>
          <w:sz w:val="24"/>
          <w:szCs w:val="28"/>
          <w:lang w:val="en-US"/>
        </w:rPr>
      </w:pPr>
      <w:r>
        <w:rPr>
          <w:rFonts w:eastAsia="黑体" w:cs="Times New Roman" w:hint="eastAsia"/>
          <w:b/>
          <w:bCs/>
          <w:sz w:val="24"/>
          <w:szCs w:val="28"/>
          <w:lang w:val="en-US"/>
        </w:rPr>
        <w:t>HARQ bundling for eMTC HD-FDD</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EMTC HD-FDD HARQ bundling is introduced in Rel.14 and enhanced in Rel.17. In the previous RAN1#109e meeting, </w:t>
      </w:r>
      <w:r>
        <w:rPr>
          <w:rFonts w:ascii="Times New Roman" w:eastAsia="宋体" w:hAnsi="Times New Roman" w:cs="Times New Roman" w:hint="eastAsia"/>
          <w:sz w:val="20"/>
          <w:szCs w:val="20"/>
          <w:lang w:eastAsia="ko-KR"/>
        </w:rPr>
        <w:t>the design of disablement of HARQ feedback should handle the case where HARQ feedback is bundled, and HARQ</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lang w:eastAsia="ko-KR"/>
        </w:rPr>
        <w:t>feedback is enabled for some HARQ processes and is disabled for others.</w:t>
      </w:r>
      <w:r>
        <w:rPr>
          <w:rFonts w:ascii="Times New Roman" w:eastAsia="宋体" w:hAnsi="Times New Roman" w:cs="Times New Roman" w:hint="eastAsia"/>
          <w:sz w:val="20"/>
          <w:szCs w:val="20"/>
        </w:rPr>
        <w:t xml:space="preserve"> In our </w:t>
      </w:r>
      <w:r>
        <w:rPr>
          <w:rFonts w:ascii="Times New Roman" w:eastAsia="宋体" w:hAnsi="Times New Roman" w:cs="Times New Roman"/>
          <w:sz w:val="20"/>
          <w:szCs w:val="20"/>
        </w:rPr>
        <w:t>consideration</w:t>
      </w:r>
      <w:r>
        <w:rPr>
          <w:rFonts w:ascii="Times New Roman" w:eastAsia="宋体" w:hAnsi="Times New Roman" w:cs="Times New Roman" w:hint="eastAsia"/>
          <w:sz w:val="20"/>
          <w:szCs w:val="20"/>
        </w:rPr>
        <w:t>, in order to obtain the gain from disabling HARQ feedback while achieving a unified design that minimizes the impact on the standard, UE will always report ACK for disabled HARQ process if needed. The ACK of the disabled HARQ process is transparent when it performs the AND operation with the NACK or ACK of the enabled HARQ process, and will not cause the base station to misjudge the reception status of the current process.</w:t>
      </w:r>
    </w:p>
    <w:p w:rsidR="00790841" w:rsidRDefault="002D0710">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3:</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eMTC </w:t>
      </w:r>
      <w:r>
        <w:rPr>
          <w:rFonts w:ascii="Times New Roman" w:eastAsia="宋体" w:hAnsi="Times New Roman"/>
          <w:bCs/>
          <w:i/>
          <w:sz w:val="20"/>
          <w:szCs w:val="20"/>
        </w:rPr>
        <w:t xml:space="preserve">HD-FDD scenario, </w:t>
      </w:r>
      <w:r>
        <w:rPr>
          <w:rFonts w:ascii="Times New Roman" w:eastAsia="宋体" w:hAnsi="Times New Roman" w:hint="eastAsia"/>
          <w:bCs/>
          <w:i/>
          <w:sz w:val="20"/>
          <w:szCs w:val="20"/>
        </w:rPr>
        <w:t>for HARQ-ACK bundling with logical AND operation, ACK is assumed for a feedback-disabled HARQ process.</w:t>
      </w:r>
    </w:p>
    <w:p w:rsidR="00790841" w:rsidRDefault="002D0710">
      <w:pPr>
        <w:pStyle w:val="2"/>
        <w:numPr>
          <w:ilvl w:val="1"/>
          <w:numId w:val="1"/>
        </w:numPr>
        <w:spacing w:before="0" w:after="0"/>
        <w:ind w:left="851" w:hanging="431"/>
        <w:rPr>
          <w:rFonts w:eastAsia="黑体" w:cs="Times New Roman"/>
          <w:b/>
          <w:bCs/>
          <w:sz w:val="24"/>
          <w:szCs w:val="28"/>
          <w:lang w:val="en-US"/>
        </w:rPr>
      </w:pPr>
      <w:r>
        <w:rPr>
          <w:rFonts w:eastAsia="黑体" w:cs="Times New Roman" w:hint="eastAsia"/>
          <w:b/>
          <w:bCs/>
          <w:sz w:val="24"/>
          <w:szCs w:val="28"/>
          <w:lang w:val="en-US"/>
        </w:rPr>
        <w:t>HARQ feedback for scheduling multiple TB</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Similar as issue of HARQ bundling, in the previous RAN1#109e meeting, solutions should be designed for the case of transmitting HARQ feedback for a multi-TB block where some TBs (or TB bundles) have feedback enabled, while some others have feedback disabled. </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our </w:t>
      </w:r>
      <w:r>
        <w:rPr>
          <w:rFonts w:ascii="Times New Roman" w:eastAsia="宋体" w:hAnsi="Times New Roman" w:cs="Times New Roman"/>
          <w:sz w:val="20"/>
          <w:szCs w:val="20"/>
        </w:rPr>
        <w:t>consideration</w:t>
      </w:r>
      <w:r>
        <w:rPr>
          <w:rFonts w:ascii="Times New Roman" w:eastAsia="宋体" w:hAnsi="Times New Roman" w:cs="Times New Roman" w:hint="eastAsia"/>
          <w:sz w:val="20"/>
          <w:szCs w:val="20"/>
        </w:rPr>
        <w:t>, in order to obtain the gain from disabling HARQ feedback while achieving a unified design that minimizes the impact on the standard,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UE will always report ACK for disabled HARQ process if needed. Based on the eNB configuration for disabling HARQ feedback per HARQ process per UE, for a given HARQ process, the eNB will know that the UE will not transmit HARQ feedback on NPUSCH format 2 for NB-IoT or PUCCH for eMTC. Therefore, for a disabled HARQ process, when the initial or retransmission is completed, a new transmission or retransmission of the same HARQ process can be performed without </w:t>
      </w:r>
      <w:r>
        <w:rPr>
          <w:rFonts w:ascii="Times New Roman" w:eastAsia="宋体" w:hAnsi="Times New Roman" w:cs="Times New Roman"/>
          <w:sz w:val="20"/>
          <w:szCs w:val="20"/>
        </w:rPr>
        <w:t>waiting. Whereas</w:t>
      </w:r>
      <w:r>
        <w:rPr>
          <w:rFonts w:ascii="Times New Roman" w:eastAsia="宋体" w:hAnsi="Times New Roman" w:cs="Times New Roman" w:hint="eastAsia"/>
          <w:sz w:val="20"/>
          <w:szCs w:val="20"/>
        </w:rPr>
        <w:t xml:space="preserve"> for a enabled HARQ process, the expected eNB transmission behavior is to wait for the ACK/NACK of the current DL packet transmission before scheduling a new/</w:t>
      </w:r>
      <w:r>
        <w:rPr>
          <w:rFonts w:ascii="Times New Roman" w:eastAsia="宋体" w:hAnsi="Times New Roman" w:cs="Times New Roman"/>
          <w:sz w:val="20"/>
          <w:szCs w:val="20"/>
        </w:rPr>
        <w:t>retransmission, which</w:t>
      </w:r>
      <w:r>
        <w:rPr>
          <w:rFonts w:ascii="Times New Roman" w:eastAsia="宋体" w:hAnsi="Times New Roman" w:cs="Times New Roman" w:hint="eastAsia"/>
          <w:sz w:val="20"/>
          <w:szCs w:val="20"/>
        </w:rPr>
        <w:t xml:space="preserve"> is consistent with the current standard.</w:t>
      </w:r>
    </w:p>
    <w:p w:rsidR="00790841" w:rsidRDefault="002D0710">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4:</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the </w:t>
      </w:r>
      <w:r>
        <w:rPr>
          <w:rFonts w:ascii="Times New Roman" w:eastAsia="宋体" w:hAnsi="Times New Roman"/>
          <w:bCs/>
          <w:i/>
          <w:sz w:val="20"/>
          <w:szCs w:val="20"/>
        </w:rPr>
        <w:t>HARQ feedback for scheduling multiple TB scenario</w:t>
      </w:r>
      <w:r>
        <w:rPr>
          <w:rFonts w:ascii="Times New Roman" w:eastAsia="宋体" w:hAnsi="Times New Roman" w:hint="eastAsia"/>
          <w:bCs/>
          <w:i/>
          <w:sz w:val="20"/>
          <w:szCs w:val="20"/>
        </w:rPr>
        <w:t xml:space="preserve">, ACK is assumed </w:t>
      </w:r>
      <w:r>
        <w:rPr>
          <w:rFonts w:ascii="Times New Roman" w:eastAsia="宋体" w:hAnsi="Times New Roman"/>
          <w:bCs/>
          <w:i/>
          <w:sz w:val="20"/>
          <w:szCs w:val="20"/>
        </w:rPr>
        <w:t xml:space="preserve">to mitigate the impact of introducing feedback-less HARQ processes on multi-TB scheduling for eMTC and NB-IoT. </w:t>
      </w:r>
    </w:p>
    <w:p w:rsidR="00790841" w:rsidRDefault="002D0710">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SPS PDSCH</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RAN1#109e, disabling of HARQ feedback for SPS PDSCH was agreed for further study. In Rel-17 NR-NTN, following agreement has been agreed for HARQ feedback of SPS PDSCH:</w:t>
      </w:r>
    </w:p>
    <w:p w:rsidR="00790841" w:rsidRDefault="002D0710">
      <w:pPr>
        <w:shd w:val="clear" w:color="auto" w:fill="FFFFFF"/>
        <w:spacing w:beforeLines="50" w:before="120" w:afterLines="50" w:after="120" w:line="240" w:lineRule="auto"/>
        <w:ind w:leftChars="200" w:left="440"/>
        <w:rPr>
          <w:rFonts w:ascii="Times New Roman" w:eastAsia="serif" w:hAnsi="Times New Roman" w:cs="Times New Roman"/>
          <w:b/>
          <w:bCs/>
          <w:i/>
          <w:iCs/>
          <w:color w:val="000000"/>
          <w:sz w:val="20"/>
          <w:szCs w:val="20"/>
          <w:shd w:val="clear" w:color="auto" w:fill="00FF00"/>
          <w:lang w:bidi="ar"/>
        </w:rPr>
      </w:pPr>
      <w:r>
        <w:rPr>
          <w:rFonts w:ascii="Times New Roman" w:eastAsia="serif" w:hAnsi="Times New Roman" w:cs="Times New Roman"/>
          <w:b/>
          <w:bCs/>
          <w:i/>
          <w:iCs/>
          <w:color w:val="000000"/>
          <w:sz w:val="20"/>
          <w:szCs w:val="20"/>
          <w:shd w:val="clear" w:color="auto" w:fill="00FF00"/>
          <w:lang w:bidi="ar"/>
        </w:rPr>
        <w:t>Agreement</w:t>
      </w:r>
    </w:p>
    <w:p w:rsidR="00790841" w:rsidRDefault="002D0710">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lastRenderedPageBreak/>
        <w:t>For HARQ feedback of each SPS PDSCH, UE follows the per-process configuration of HARQ feedback enabled/disabled for the associated HARQ process, except for the first SPS PDSCH after activation if HARQ feedback for SPS activation is additionally enabled.</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NR-NTN, additional configuration for HARQ feedback of first SPS PDSCH was specified. With this feature, network is able to know whether the SPS configuration is successful via the feedback of first SPS PDSCH. The solution for NR-NTN can be directly reused in IoT-NTN to achieve the same feature.</w:t>
      </w:r>
    </w:p>
    <w:p w:rsidR="00790841" w:rsidRDefault="002D0710">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rsidR="00790841" w:rsidRDefault="002D0710">
      <w:pPr>
        <w:pStyle w:val="2"/>
        <w:numPr>
          <w:ilvl w:val="1"/>
          <w:numId w:val="1"/>
        </w:numPr>
        <w:ind w:left="851" w:hanging="431"/>
        <w:rPr>
          <w:rFonts w:eastAsia="黑体" w:cs="Times New Roman"/>
          <w:b/>
          <w:bCs/>
          <w:sz w:val="24"/>
          <w:szCs w:val="28"/>
          <w:lang w:val="en-US"/>
        </w:rPr>
      </w:pPr>
      <w:r>
        <w:rPr>
          <w:rFonts w:eastAsia="黑体" w:cs="Times New Roman" w:hint="eastAsia"/>
          <w:b/>
          <w:bCs/>
          <w:sz w:val="24"/>
          <w:szCs w:val="28"/>
          <w:lang w:val="en-US"/>
        </w:rPr>
        <w:t>(N)PDSCH/(N)PDCCH scheduling restriction</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In RAN1#109e, the issue of (N)PDSCH/(N)PDCCH scheduling restriction has been identified and agreed for further study. In Rel-17 NR-NTN, following agreements have been agreed for PDSCH/PDCCH scheduling restriction:</w:t>
      </w:r>
    </w:p>
    <w:p w:rsidR="00790841" w:rsidRDefault="002D0710">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790841" w:rsidRDefault="002D0710">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790841" w:rsidRDefault="002D0710">
      <w:pPr>
        <w:numPr>
          <w:ilvl w:val="0"/>
          <w:numId w:val="7"/>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Working assumption: X = T_proc,1</w:t>
      </w:r>
    </w:p>
    <w:p w:rsidR="00790841" w:rsidRDefault="002D0710">
      <w:pPr>
        <w:numPr>
          <w:ilvl w:val="0"/>
          <w:numId w:val="7"/>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FFS: Whether X should be changed to X = max(T_proc,1, K1) where K1 is the minimum k1 if it is configured, otherwise k1 = 0</w:t>
      </w:r>
    </w:p>
    <w:p w:rsidR="00790841" w:rsidRDefault="002D0710">
      <w:pPr>
        <w:numPr>
          <w:ilvl w:val="0"/>
          <w:numId w:val="7"/>
        </w:numPr>
        <w:spacing w:beforeLines="50" w:before="120" w:afterLines="50" w:after="120" w:line="240" w:lineRule="auto"/>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Note: The TB of the two PDSCHs can be either same or different</w:t>
      </w:r>
    </w:p>
    <w:p w:rsidR="00790841" w:rsidRDefault="002D0710">
      <w:pPr>
        <w:shd w:val="clear" w:color="auto" w:fill="FFFFFF"/>
        <w:spacing w:beforeLines="50" w:before="120" w:afterLines="50" w:after="120" w:line="240" w:lineRule="auto"/>
        <w:ind w:leftChars="200" w:left="440"/>
        <w:rPr>
          <w:rFonts w:ascii="serif" w:eastAsia="serif" w:hAnsi="serif" w:cs="serif"/>
          <w:i/>
          <w:iCs/>
          <w:color w:val="000000"/>
          <w:sz w:val="24"/>
          <w:szCs w:val="24"/>
        </w:rPr>
      </w:pPr>
      <w:r>
        <w:rPr>
          <w:rFonts w:ascii="Times New Roman" w:eastAsia="serif" w:hAnsi="Times New Roman" w:cs="Times New Roman"/>
          <w:b/>
          <w:bCs/>
          <w:i/>
          <w:iCs/>
          <w:color w:val="000000"/>
          <w:sz w:val="20"/>
          <w:szCs w:val="20"/>
          <w:shd w:val="clear" w:color="auto" w:fill="00FF00"/>
          <w:lang w:bidi="ar"/>
        </w:rPr>
        <w:t>Agreement</w:t>
      </w:r>
    </w:p>
    <w:p w:rsidR="00790841" w:rsidRDefault="002D0710">
      <w:pPr>
        <w:numPr>
          <w:ilvl w:val="7"/>
          <w:numId w:val="0"/>
        </w:numPr>
        <w:spacing w:beforeLines="50" w:before="120" w:afterLines="50" w:after="120" w:line="240" w:lineRule="auto"/>
        <w:ind w:leftChars="200" w:left="440"/>
        <w:rPr>
          <w:rFonts w:ascii="Times New Roman" w:eastAsia="serif" w:hAnsi="Times New Roman" w:cs="Times New Roman"/>
          <w:i/>
          <w:iCs/>
          <w:color w:val="000000"/>
          <w:sz w:val="20"/>
          <w:szCs w:val="20"/>
          <w:shd w:val="clear" w:color="auto" w:fill="FFFFFF"/>
          <w:lang w:bidi="ar"/>
        </w:rPr>
      </w:pPr>
      <w:r>
        <w:rPr>
          <w:rFonts w:ascii="Times New Roman" w:eastAsia="serif" w:hAnsi="Times New Roman" w:cs="Times New Roman"/>
          <w:i/>
          <w:iCs/>
          <w:color w:val="000000"/>
          <w:sz w:val="20"/>
          <w:szCs w:val="20"/>
          <w:shd w:val="clear" w:color="auto" w:fill="FFFFFF"/>
          <w:lang w:bidi="ar"/>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lang w:bidi="ar"/>
        </w:rPr>
      </w:pPr>
      <w:r>
        <w:rPr>
          <w:rFonts w:ascii="Times New Roman" w:eastAsia="宋体" w:hAnsi="Times New Roman" w:cs="Times New Roman" w:hint="eastAsia"/>
          <w:sz w:val="20"/>
          <w:szCs w:val="20"/>
          <w:lang w:bidi="ar"/>
        </w:rPr>
        <w:t xml:space="preserve">The agreements above will leave enough time for UE to process the PDSCH before receiving new PDCCH. This restriction should also be supported in IoT-NTN. However, due to lower UE capability, the time </w:t>
      </w:r>
      <w:r>
        <w:rPr>
          <w:rFonts w:ascii="Times New Roman" w:eastAsia="宋体" w:hAnsi="Times New Roman" w:cs="Times New Roman" w:hint="eastAsia"/>
          <w:sz w:val="20"/>
          <w:szCs w:val="20"/>
        </w:rPr>
        <w:t xml:space="preserve">gap </w:t>
      </w:r>
      <w:r>
        <w:rPr>
          <w:rFonts w:ascii="Times New Roman" w:eastAsia="宋体" w:hAnsi="Times New Roman" w:cs="Times New Roman" w:hint="eastAsia"/>
          <w:sz w:val="20"/>
          <w:szCs w:val="20"/>
          <w:lang w:bidi="ar"/>
        </w:rPr>
        <w:t xml:space="preserve">X should be updated based on the processing delay of IoT devices. In legacy NB-IoT and eMTC, there is no definition of the processing time as in NR. </w:t>
      </w:r>
      <w:r>
        <w:rPr>
          <w:rFonts w:ascii="Times New Roman" w:eastAsia="宋体" w:hAnsi="Times New Roman" w:cs="Times New Roman" w:hint="eastAsia"/>
          <w:sz w:val="20"/>
          <w:szCs w:val="20"/>
        </w:rPr>
        <w:t>Instead, only HARQ-ACK delays after PDSCH and NPDSCH are defined, whose minimum values are 4 subframes and 12 DL subframes for eMTC and NB-IoT, respectively. Hence, the time gap between the end of a PDSCH and the start of next PDCCH should be modified accordingly.</w:t>
      </w:r>
    </w:p>
    <w:p w:rsidR="00790841" w:rsidRDefault="002D0710">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hAnsi="Times New Roman" w:cs="Times New Roman" w:hint="eastAsia"/>
          <w:i/>
          <w:sz w:val="20"/>
          <w:szCs w:val="20"/>
        </w:rPr>
        <w:t>When HARQ feedback for a HARQ process is disabled, the UE is not expected to receive another MPDCCH carrying a DCI scheduling a PDSCH scheduled for the given HARQ process that starts until 4 subframes after the end of the reception of the last PDSCH for eMTC.</w:t>
      </w:r>
    </w:p>
    <w:p w:rsidR="00790841" w:rsidRDefault="002D0710">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hAnsi="Times New Roman" w:cs="Times New Roman" w:hint="eastAsia"/>
          <w:i/>
          <w:sz w:val="20"/>
          <w:szCs w:val="20"/>
        </w:rPr>
        <w:t>When HARQ feedback for a HARQ process is disabled, the UE is not expected to receive another NPDCCH carrying a DCI scheduling a NPDSCH scheduled for the given HARQ process that starts until 12 DL subframes after the end of the reception of the last NPDSCH for NB-IoT.</w:t>
      </w:r>
    </w:p>
    <w:p w:rsidR="00790841" w:rsidRDefault="002D0710">
      <w:pPr>
        <w:pStyle w:val="2"/>
        <w:numPr>
          <w:ilvl w:val="1"/>
          <w:numId w:val="1"/>
        </w:numPr>
        <w:ind w:left="851" w:hanging="431"/>
        <w:rPr>
          <w:rFonts w:eastAsia="黑体" w:cs="Times New Roman"/>
          <w:b/>
          <w:bCs/>
          <w:sz w:val="28"/>
          <w:szCs w:val="30"/>
          <w:lang w:val="en-US"/>
        </w:rPr>
      </w:pPr>
      <w:r>
        <w:rPr>
          <w:rFonts w:eastAsia="黑体" w:cs="Times New Roman"/>
          <w:b/>
          <w:bCs/>
          <w:sz w:val="28"/>
          <w:szCs w:val="30"/>
          <w:lang w:val="en-US"/>
        </w:rPr>
        <w:t>Others</w:t>
      </w:r>
    </w:p>
    <w:p w:rsidR="00790841" w:rsidRDefault="002D0710">
      <w:pPr>
        <w:numPr>
          <w:ilvl w:val="7"/>
          <w:numId w:val="0"/>
        </w:numPr>
        <w:spacing w:beforeLines="50" w:before="120" w:afterLines="5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NTN, the propagation delay can be large because of high altitude of the satellite. As a result, when HARQ feedback is enabled, UE may not able to receive the new scheduling information immediately after transmitting HARQ-ACK due to long RTT. In IoT communication, unnecessary NPDCCH/MPDCCH monitoring should be reduced as much as possible to reduce power consumption. Hence, UE should not monitor NPDCCH/MPDCCH for the given HARQ process until RTT after the </w:t>
      </w:r>
      <w:r>
        <w:rPr>
          <w:rFonts w:ascii="Times New Roman" w:eastAsia="宋体" w:hAnsi="Times New Roman" w:cs="Times New Roman"/>
          <w:sz w:val="20"/>
          <w:szCs w:val="20"/>
        </w:rPr>
        <w:t>transmission</w:t>
      </w:r>
      <w:r>
        <w:rPr>
          <w:rFonts w:ascii="Times New Roman" w:eastAsia="宋体" w:hAnsi="Times New Roman" w:cs="Times New Roman" w:hint="eastAsia"/>
          <w:sz w:val="20"/>
          <w:szCs w:val="20"/>
        </w:rPr>
        <w:t xml:space="preserve"> of HARQ-ACK </w:t>
      </w:r>
      <w:r>
        <w:rPr>
          <w:rFonts w:ascii="Times New Roman" w:eastAsia="宋体" w:hAnsi="Times New Roman" w:cs="Times New Roman" w:hint="eastAsia"/>
          <w:sz w:val="20"/>
          <w:szCs w:val="20"/>
        </w:rPr>
        <w:lastRenderedPageBreak/>
        <w:t xml:space="preserve">when HARQ feedback is enabled since it is not possible to receive a new scheduling information during this period. </w:t>
      </w:r>
    </w:p>
    <w:p w:rsidR="00790841" w:rsidRDefault="002D0710">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hAnsi="Times New Roman" w:cs="Times New Roman" w:hint="eastAsia"/>
          <w:i/>
          <w:sz w:val="20"/>
          <w:szCs w:val="20"/>
        </w:rPr>
        <w:t>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rsidR="00790841" w:rsidRDefault="002D071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790841" w:rsidRDefault="002D0710">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 and observations:</w:t>
      </w:r>
    </w:p>
    <w:p w:rsidR="00790841" w:rsidRDefault="002D0710">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 xml:space="preserve">Reuse the HARQ feedback disabling solution agreed in Rel-17 NR-NTN, </w:t>
      </w:r>
      <w:r>
        <w:rPr>
          <w:rFonts w:ascii="Times New Roman" w:eastAsia="宋体" w:hAnsi="Times New Roman"/>
          <w:bCs/>
          <w:i/>
          <w:sz w:val="20"/>
          <w:szCs w:val="20"/>
        </w:rPr>
        <w:t>i.e.</w:t>
      </w:r>
      <w:r>
        <w:rPr>
          <w:rFonts w:ascii="Times New Roman" w:eastAsia="宋体" w:hAnsi="Times New Roman" w:hint="eastAsia"/>
          <w:bCs/>
          <w:i/>
          <w:sz w:val="20"/>
          <w:szCs w:val="20"/>
        </w:rPr>
        <w:t>, enabling/disabling on HARQ feedback for downlink transmission is configurable per HARQ process via UE specific RRC signaling, as option 1.</w:t>
      </w:r>
    </w:p>
    <w:p w:rsidR="00790841" w:rsidRDefault="002D0710">
      <w:pPr>
        <w:numPr>
          <w:ilvl w:val="3"/>
          <w:numId w:val="0"/>
        </w:numPr>
        <w:spacing w:beforeLines="50" w:before="120" w:afterLines="50" w:after="12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w:t>
      </w:r>
      <w:r>
        <w:rPr>
          <w:rFonts w:ascii="Times New Roman" w:eastAsia="宋体" w:hAnsi="Times New Roman"/>
          <w:bCs/>
          <w:i/>
          <w:sz w:val="20"/>
          <w:szCs w:val="20"/>
        </w:rPr>
        <w:t xml:space="preserve">The decision on whether and how many </w:t>
      </w:r>
      <w:r>
        <w:rPr>
          <w:rFonts w:ascii="Times New Roman" w:eastAsia="宋体" w:hAnsi="Times New Roman" w:hint="eastAsia"/>
          <w:bCs/>
          <w:i/>
          <w:sz w:val="20"/>
          <w:szCs w:val="20"/>
        </w:rPr>
        <w:t xml:space="preserve">HARQ processes </w:t>
      </w:r>
      <w:r>
        <w:rPr>
          <w:rFonts w:ascii="Times New Roman" w:eastAsia="宋体" w:hAnsi="Times New Roman"/>
          <w:bCs/>
          <w:i/>
          <w:sz w:val="20"/>
          <w:szCs w:val="20"/>
        </w:rPr>
        <w:t xml:space="preserve">are disabled </w:t>
      </w:r>
      <w:r>
        <w:rPr>
          <w:rFonts w:ascii="Times New Roman" w:eastAsia="宋体" w:hAnsi="Times New Roman" w:hint="eastAsia"/>
          <w:bCs/>
          <w:i/>
          <w:sz w:val="20"/>
          <w:szCs w:val="20"/>
        </w:rPr>
        <w:t>depends on network configuration.</w:t>
      </w:r>
    </w:p>
    <w:p w:rsidR="00790841" w:rsidRDefault="002D0710">
      <w:pPr>
        <w:numPr>
          <w:ilvl w:val="3"/>
          <w:numId w:val="0"/>
        </w:numPr>
        <w:spacing w:beforeLines="50" w:before="120" w:afterLines="50" w:after="120" w:line="240" w:lineRule="auto"/>
        <w:ind w:leftChars="200" w:left="440"/>
        <w:rPr>
          <w:rFonts w:ascii="Times New Roman" w:eastAsia="宋体" w:hAnsi="Times New Roman"/>
          <w:b/>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3:</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eMTC </w:t>
      </w:r>
      <w:r>
        <w:rPr>
          <w:rFonts w:ascii="Times New Roman" w:eastAsia="宋体" w:hAnsi="Times New Roman"/>
          <w:bCs/>
          <w:i/>
          <w:sz w:val="20"/>
          <w:szCs w:val="20"/>
        </w:rPr>
        <w:t xml:space="preserve">HD-FDD scenario, </w:t>
      </w:r>
      <w:r>
        <w:rPr>
          <w:rFonts w:ascii="Times New Roman" w:eastAsia="宋体" w:hAnsi="Times New Roman" w:hint="eastAsia"/>
          <w:bCs/>
          <w:i/>
          <w:sz w:val="20"/>
          <w:szCs w:val="20"/>
        </w:rPr>
        <w:t>for HARQ-ACK bundling with logical AND operation, ACK is assumed for a feedback-disabled HARQ process.</w:t>
      </w:r>
    </w:p>
    <w:p w:rsidR="00790841" w:rsidRDefault="002D0710">
      <w:pPr>
        <w:numPr>
          <w:ilvl w:val="3"/>
          <w:numId w:val="0"/>
        </w:numPr>
        <w:spacing w:beforeLines="50" w:before="120" w:afterLines="50" w:after="120" w:line="240" w:lineRule="auto"/>
        <w:ind w:leftChars="200" w:left="440"/>
        <w:rPr>
          <w:rFonts w:ascii="Times New Roman" w:hAnsi="Times New Roman"/>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4:</w:t>
      </w:r>
      <w:r>
        <w:rPr>
          <w:rFonts w:ascii="Times New Roman" w:eastAsia="宋体" w:hAnsi="Times New Roman"/>
          <w:bCs/>
          <w:i/>
          <w:sz w:val="20"/>
          <w:szCs w:val="20"/>
        </w:rPr>
        <w:t xml:space="preserve"> In </w:t>
      </w:r>
      <w:r>
        <w:rPr>
          <w:rFonts w:ascii="Times New Roman" w:eastAsia="宋体" w:hAnsi="Times New Roman" w:hint="eastAsia"/>
          <w:bCs/>
          <w:i/>
          <w:sz w:val="20"/>
          <w:szCs w:val="20"/>
        </w:rPr>
        <w:t xml:space="preserve">the </w:t>
      </w:r>
      <w:r>
        <w:rPr>
          <w:rFonts w:ascii="Times New Roman" w:eastAsia="宋体" w:hAnsi="Times New Roman"/>
          <w:bCs/>
          <w:i/>
          <w:sz w:val="20"/>
          <w:szCs w:val="20"/>
        </w:rPr>
        <w:t>HARQ feedback for scheduling multiple TB scenario</w:t>
      </w:r>
      <w:r>
        <w:rPr>
          <w:rFonts w:ascii="Times New Roman" w:eastAsia="宋体" w:hAnsi="Times New Roman" w:hint="eastAsia"/>
          <w:bCs/>
          <w:i/>
          <w:sz w:val="20"/>
          <w:szCs w:val="20"/>
        </w:rPr>
        <w:t xml:space="preserve">, ACK is assumed </w:t>
      </w:r>
      <w:r>
        <w:rPr>
          <w:rFonts w:ascii="Times New Roman" w:eastAsia="宋体" w:hAnsi="Times New Roman"/>
          <w:bCs/>
          <w:i/>
          <w:sz w:val="20"/>
          <w:szCs w:val="20"/>
        </w:rPr>
        <w:t>to mitigate the impact of introducing feedback-less HARQ processes on multi-TB scheduling for eMTC and NB-IoT.</w:t>
      </w:r>
      <w:r>
        <w:rPr>
          <w:rFonts w:ascii="Times New Roman" w:hAnsi="Times New Roman" w:hint="eastAsia"/>
          <w:sz w:val="20"/>
          <w:szCs w:val="20"/>
        </w:rPr>
        <w:t xml:space="preserve"> </w:t>
      </w:r>
    </w:p>
    <w:p w:rsidR="00790841" w:rsidRDefault="002D0710">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eastAsia="serif" w:hAnsi="Times New Roman" w:cs="Times New Roman"/>
          <w:i/>
          <w:iCs/>
          <w:color w:val="000000"/>
          <w:sz w:val="20"/>
          <w:szCs w:val="20"/>
          <w:shd w:val="clear" w:color="auto" w:fill="FFFFFF"/>
          <w:lang w:bidi="ar"/>
        </w:rPr>
        <w:t xml:space="preserve">For HARQ feedback of each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 xml:space="preserve">PDSCH, UE follows the per-process configuration of HARQ feedback enabled/disabled for the associated HARQ process, except for the first SPS </w:t>
      </w:r>
      <w:r>
        <w:rPr>
          <w:rFonts w:ascii="Times New Roman" w:eastAsia="serif" w:hAnsi="Times New Roman" w:cs="Times New Roman" w:hint="eastAsia"/>
          <w:i/>
          <w:iCs/>
          <w:color w:val="000000"/>
          <w:sz w:val="20"/>
          <w:szCs w:val="20"/>
          <w:shd w:val="clear" w:color="auto" w:fill="FFFFFF"/>
          <w:lang w:bidi="ar"/>
        </w:rPr>
        <w:t>(N)</w:t>
      </w:r>
      <w:r>
        <w:rPr>
          <w:rFonts w:ascii="Times New Roman" w:eastAsia="serif" w:hAnsi="Times New Roman" w:cs="Times New Roman"/>
          <w:i/>
          <w:iCs/>
          <w:color w:val="000000"/>
          <w:sz w:val="20"/>
          <w:szCs w:val="20"/>
          <w:shd w:val="clear" w:color="auto" w:fill="FFFFFF"/>
          <w:lang w:bidi="ar"/>
        </w:rPr>
        <w:t>PDSCH after activation if HARQ feedback for SPS activation is additionally enabled</w:t>
      </w:r>
      <w:r>
        <w:rPr>
          <w:rFonts w:ascii="Times New Roman" w:hAnsi="Times New Roman" w:cs="Times New Roman" w:hint="eastAsia"/>
          <w:i/>
          <w:sz w:val="20"/>
          <w:szCs w:val="20"/>
        </w:rPr>
        <w:t>.</w:t>
      </w:r>
    </w:p>
    <w:p w:rsidR="00790841" w:rsidRDefault="002D0710">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hAnsi="Times New Roman" w:cs="Times New Roman" w:hint="eastAsia"/>
          <w:i/>
          <w:sz w:val="20"/>
          <w:szCs w:val="20"/>
        </w:rPr>
        <w:t>When HARQ feedback for a HARQ process is disabled, the UE is not expected to receive another MPDCCH carrying a DCI scheduling a PDSCH scheduled for the given HARQ process that starts until 4 subframes after the end of the reception of the last PDSCH for eMTC.</w:t>
      </w:r>
    </w:p>
    <w:p w:rsidR="00790841" w:rsidRDefault="002D0710">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hAnsi="Times New Roman" w:cs="Times New Roman" w:hint="eastAsia"/>
          <w:i/>
          <w:sz w:val="20"/>
          <w:szCs w:val="20"/>
        </w:rPr>
        <w:t>When HARQ feedback for a HARQ process is disabled, the UE is not expected to receive another NPDCCH carrying a DCI scheduling a NPDSCH scheduled for the given HARQ process that starts until 12 DL subframes after the end of the reception of the last NPDSCH for NB-IoT.</w:t>
      </w:r>
    </w:p>
    <w:p w:rsidR="00790841" w:rsidRDefault="002D0710">
      <w:pPr>
        <w:numPr>
          <w:ilvl w:val="3"/>
          <w:numId w:val="0"/>
        </w:numPr>
        <w:spacing w:after="120"/>
        <w:ind w:leftChars="200" w:left="440"/>
        <w:rPr>
          <w:rFonts w:ascii="Times New Roman" w:hAnsi="Times New Roman" w:cs="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hAnsi="Times New Roman" w:cs="Times New Roman" w:hint="eastAsia"/>
          <w:i/>
          <w:sz w:val="20"/>
          <w:szCs w:val="20"/>
        </w:rPr>
        <w:t>When HARQ feedback for a HARQ process is enabled, the UE is not expected to receive another NPDCCH/MPDCCH carrying a DCI scheduling a NPDSCH/PDSCH scheduled for the given HARQ process that starts until round trip propagation delay after the end of the transmit of HARQ-ACK.</w:t>
      </w:r>
    </w:p>
    <w:p w:rsidR="00790841" w:rsidRDefault="002D0710">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790841" w:rsidRDefault="002D0710">
      <w:pPr>
        <w:pStyle w:val="ListParagraph1"/>
        <w:numPr>
          <w:ilvl w:val="0"/>
          <w:numId w:val="8"/>
        </w:numPr>
        <w:spacing w:after="0" w:line="240" w:lineRule="auto"/>
        <w:ind w:left="505" w:hanging="505"/>
        <w:rPr>
          <w:rFonts w:ascii="Times New Roman" w:hAnsi="Times New Roman"/>
          <w:sz w:val="20"/>
          <w:szCs w:val="20"/>
        </w:rPr>
      </w:pPr>
      <w:bookmarkStart w:id="4" w:name="_Ref32552"/>
      <w:r>
        <w:rPr>
          <w:rFonts w:ascii="Times New Roman" w:hAnsi="Times New Roman" w:hint="eastAsia"/>
          <w:sz w:val="20"/>
          <w:szCs w:val="20"/>
        </w:rPr>
        <w:t>RP-213596 New WID on IoT NTN enhancements,</w:t>
      </w:r>
      <w:r>
        <w:rPr>
          <w:rFonts w:ascii="Times New Roman" w:hAnsi="Times New Roman"/>
          <w:sz w:val="20"/>
          <w:szCs w:val="20"/>
        </w:rPr>
        <w:t xml:space="preserve"> RAN#</w:t>
      </w:r>
      <w:r>
        <w:rPr>
          <w:rFonts w:ascii="Times New Roman" w:hAnsi="Times New Roman" w:hint="eastAsia"/>
          <w:sz w:val="20"/>
          <w:szCs w:val="20"/>
        </w:rPr>
        <w:t>94e</w:t>
      </w:r>
      <w:bookmarkEnd w:id="4"/>
    </w:p>
    <w:p w:rsidR="00790841" w:rsidRDefault="002D0710">
      <w:pPr>
        <w:pStyle w:val="ListParagraph1"/>
        <w:numPr>
          <w:ilvl w:val="0"/>
          <w:numId w:val="8"/>
        </w:numPr>
        <w:spacing w:after="0" w:line="240" w:lineRule="auto"/>
        <w:ind w:left="505" w:hanging="505"/>
        <w:rPr>
          <w:rFonts w:ascii="Times New Roman" w:hAnsi="Times New Roman"/>
          <w:sz w:val="20"/>
          <w:szCs w:val="20"/>
        </w:rPr>
      </w:pPr>
      <w:bookmarkStart w:id="5" w:name="_Ref1095"/>
      <w:r>
        <w:rPr>
          <w:rFonts w:ascii="Times New Roman" w:hAnsi="Times New Roman" w:hint="eastAsia"/>
          <w:sz w:val="20"/>
          <w:szCs w:val="20"/>
        </w:rPr>
        <w:t>R1-2112890 3GPP TSG-RAN WG1 Agreements under 8.4 up to eMeeting RAN1#107-e,</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107e</w:t>
      </w:r>
      <w:bookmarkEnd w:id="5"/>
    </w:p>
    <w:p w:rsidR="00790841" w:rsidRDefault="002D0710">
      <w:pPr>
        <w:pStyle w:val="ListParagraph1"/>
        <w:numPr>
          <w:ilvl w:val="0"/>
          <w:numId w:val="8"/>
        </w:numPr>
        <w:ind w:left="505" w:hanging="505"/>
        <w:rPr>
          <w:rFonts w:ascii="Times New Roman" w:hAnsi="Times New Roman"/>
          <w:sz w:val="20"/>
          <w:szCs w:val="20"/>
        </w:rPr>
      </w:pPr>
      <w:r>
        <w:rPr>
          <w:rFonts w:ascii="Times New Roman" w:hAnsi="Times New Roman" w:hint="eastAsia"/>
          <w:sz w:val="20"/>
          <w:szCs w:val="20"/>
        </w:rPr>
        <w:t>R1-2203241 3GPP TSG-RAN WG1 Discussion on disabling of HARQ feedback for IoT-NTN</w:t>
      </w:r>
    </w:p>
    <w:p w:rsidR="00790841" w:rsidRDefault="002D0710">
      <w:pPr>
        <w:pStyle w:val="ListParagraph1"/>
        <w:numPr>
          <w:ilvl w:val="0"/>
          <w:numId w:val="8"/>
        </w:numPr>
        <w:spacing w:after="0" w:line="240" w:lineRule="auto"/>
        <w:ind w:left="505" w:hanging="505"/>
        <w:rPr>
          <w:rFonts w:ascii="Times New Roman" w:hAnsi="Times New Roman"/>
          <w:sz w:val="20"/>
          <w:szCs w:val="20"/>
        </w:rPr>
      </w:pPr>
      <w:r>
        <w:rPr>
          <w:rFonts w:ascii="Times New Roman" w:hAnsi="Times New Roman" w:hint="eastAsia"/>
          <w:sz w:val="20"/>
          <w:szCs w:val="20"/>
        </w:rPr>
        <w:t xml:space="preserve">3GPP TSG-RAN WG1 </w:t>
      </w:r>
      <w:r>
        <w:rPr>
          <w:rFonts w:ascii="Times New Roman" w:hAnsi="Times New Roman"/>
          <w:sz w:val="20"/>
        </w:rPr>
        <w:t>Draft Report of 3GPP TSG RAN WG1 #109-e v0.3.0</w:t>
      </w:r>
    </w:p>
    <w:p w:rsidR="00790841" w:rsidRDefault="00790841">
      <w:pPr>
        <w:pStyle w:val="ListParagraph1"/>
        <w:spacing w:after="0" w:line="240" w:lineRule="auto"/>
        <w:ind w:left="0"/>
        <w:rPr>
          <w:rFonts w:ascii="Times New Roman" w:hAnsi="Times New Roman"/>
          <w:sz w:val="20"/>
          <w:szCs w:val="20"/>
        </w:rPr>
      </w:pPr>
    </w:p>
    <w:p w:rsidR="00790841" w:rsidRDefault="00790841">
      <w:pPr>
        <w:pStyle w:val="ListParagraph1"/>
        <w:numPr>
          <w:ilvl w:val="255"/>
          <w:numId w:val="0"/>
        </w:numPr>
        <w:spacing w:after="0" w:line="20" w:lineRule="exact"/>
        <w:ind w:left="720"/>
        <w:rPr>
          <w:rFonts w:ascii="Times New Roman" w:hAnsi="Times New Roman"/>
          <w:sz w:val="20"/>
          <w:szCs w:val="20"/>
        </w:rPr>
      </w:pPr>
    </w:p>
    <w:sectPr w:rsidR="007908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A93" w:rsidRDefault="00D26A93">
      <w:pPr>
        <w:spacing w:line="240" w:lineRule="auto"/>
      </w:pPr>
      <w:r>
        <w:separator/>
      </w:r>
    </w:p>
  </w:endnote>
  <w:endnote w:type="continuationSeparator" w:id="0">
    <w:p w:rsidR="00D26A93" w:rsidRDefault="00D26A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serif">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A93" w:rsidRDefault="00D26A93">
      <w:pPr>
        <w:spacing w:after="0"/>
      </w:pPr>
      <w:r>
        <w:separator/>
      </w:r>
    </w:p>
  </w:footnote>
  <w:footnote w:type="continuationSeparator" w:id="0">
    <w:p w:rsidR="00D26A93" w:rsidRDefault="00D26A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DBEC91"/>
    <w:multiLevelType w:val="multilevel"/>
    <w:tmpl w:val="AADBEC9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70276C"/>
    <w:multiLevelType w:val="multilevel"/>
    <w:tmpl w:val="0A702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6"/>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3D81"/>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3FA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871"/>
    <w:rsid w:val="00167C34"/>
    <w:rsid w:val="001703CB"/>
    <w:rsid w:val="00170CD6"/>
    <w:rsid w:val="0017178D"/>
    <w:rsid w:val="00172A27"/>
    <w:rsid w:val="00173343"/>
    <w:rsid w:val="00173624"/>
    <w:rsid w:val="00174EE5"/>
    <w:rsid w:val="00176371"/>
    <w:rsid w:val="00176496"/>
    <w:rsid w:val="001767AB"/>
    <w:rsid w:val="00176CE4"/>
    <w:rsid w:val="00177052"/>
    <w:rsid w:val="0018253F"/>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0AC"/>
    <w:rsid w:val="002A1B43"/>
    <w:rsid w:val="002A2E7B"/>
    <w:rsid w:val="002A3174"/>
    <w:rsid w:val="002A40A7"/>
    <w:rsid w:val="002A431F"/>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5BB8"/>
    <w:rsid w:val="002C5C2D"/>
    <w:rsid w:val="002C636A"/>
    <w:rsid w:val="002C7437"/>
    <w:rsid w:val="002D0710"/>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4E6"/>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2383"/>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4E6B"/>
    <w:rsid w:val="006D5130"/>
    <w:rsid w:val="006D51BF"/>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0841"/>
    <w:rsid w:val="007918C5"/>
    <w:rsid w:val="00792482"/>
    <w:rsid w:val="007934C2"/>
    <w:rsid w:val="00794C8F"/>
    <w:rsid w:val="00795067"/>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29C"/>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2A62"/>
    <w:rsid w:val="00A32D0C"/>
    <w:rsid w:val="00A3478F"/>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0FC9"/>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13B"/>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B67DC"/>
    <w:rsid w:val="00CC0C01"/>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2E57"/>
    <w:rsid w:val="00D03028"/>
    <w:rsid w:val="00D030AA"/>
    <w:rsid w:val="00D05292"/>
    <w:rsid w:val="00D05363"/>
    <w:rsid w:val="00D05C99"/>
    <w:rsid w:val="00D07E6C"/>
    <w:rsid w:val="00D125AC"/>
    <w:rsid w:val="00D12F91"/>
    <w:rsid w:val="00D13E2D"/>
    <w:rsid w:val="00D14AAA"/>
    <w:rsid w:val="00D155DC"/>
    <w:rsid w:val="00D15C7E"/>
    <w:rsid w:val="00D17DBC"/>
    <w:rsid w:val="00D20013"/>
    <w:rsid w:val="00D20D5C"/>
    <w:rsid w:val="00D21EDC"/>
    <w:rsid w:val="00D23502"/>
    <w:rsid w:val="00D237D5"/>
    <w:rsid w:val="00D242BD"/>
    <w:rsid w:val="00D2545E"/>
    <w:rsid w:val="00D256F9"/>
    <w:rsid w:val="00D263F3"/>
    <w:rsid w:val="00D26A93"/>
    <w:rsid w:val="00D2714E"/>
    <w:rsid w:val="00D3008B"/>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35A82"/>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8F76E53"/>
    <w:rsid w:val="092127E1"/>
    <w:rsid w:val="094216B7"/>
    <w:rsid w:val="094F3B76"/>
    <w:rsid w:val="09B01B12"/>
    <w:rsid w:val="09C00431"/>
    <w:rsid w:val="09C02BBF"/>
    <w:rsid w:val="09CE5A2B"/>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24203BC"/>
    <w:rsid w:val="12456039"/>
    <w:rsid w:val="12606FE4"/>
    <w:rsid w:val="126C5962"/>
    <w:rsid w:val="1297438E"/>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2338EA"/>
    <w:rsid w:val="1A680331"/>
    <w:rsid w:val="1A7C2890"/>
    <w:rsid w:val="1AA846CB"/>
    <w:rsid w:val="1AA8733D"/>
    <w:rsid w:val="1B0051DB"/>
    <w:rsid w:val="1B1D327A"/>
    <w:rsid w:val="1B324FB0"/>
    <w:rsid w:val="1B5653C7"/>
    <w:rsid w:val="1B807109"/>
    <w:rsid w:val="1B975ED5"/>
    <w:rsid w:val="1BAF2B27"/>
    <w:rsid w:val="1C0A6142"/>
    <w:rsid w:val="1C594598"/>
    <w:rsid w:val="1C6D214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8D01A9"/>
    <w:rsid w:val="25B52C71"/>
    <w:rsid w:val="25D474A1"/>
    <w:rsid w:val="25E01AE5"/>
    <w:rsid w:val="260C0C73"/>
    <w:rsid w:val="263458F1"/>
    <w:rsid w:val="265B10B1"/>
    <w:rsid w:val="2660010E"/>
    <w:rsid w:val="26AF4890"/>
    <w:rsid w:val="26C679EB"/>
    <w:rsid w:val="26EB3598"/>
    <w:rsid w:val="271B442E"/>
    <w:rsid w:val="27240F9C"/>
    <w:rsid w:val="272B664F"/>
    <w:rsid w:val="272D09AF"/>
    <w:rsid w:val="27862223"/>
    <w:rsid w:val="279327F5"/>
    <w:rsid w:val="27A31EDE"/>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2A6487"/>
    <w:rsid w:val="3C5735CB"/>
    <w:rsid w:val="3C8A3F43"/>
    <w:rsid w:val="3CFE08DB"/>
    <w:rsid w:val="3D6056F8"/>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4314FE"/>
    <w:rsid w:val="435201BE"/>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AE5964"/>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A25457"/>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30763D"/>
    <w:rsid w:val="6531024B"/>
    <w:rsid w:val="65506B03"/>
    <w:rsid w:val="6574639E"/>
    <w:rsid w:val="657D32A1"/>
    <w:rsid w:val="657E3736"/>
    <w:rsid w:val="66083494"/>
    <w:rsid w:val="661A0A02"/>
    <w:rsid w:val="66257BD6"/>
    <w:rsid w:val="667C7C00"/>
    <w:rsid w:val="668E1C3C"/>
    <w:rsid w:val="66E84324"/>
    <w:rsid w:val="66F44120"/>
    <w:rsid w:val="67321F44"/>
    <w:rsid w:val="67390939"/>
    <w:rsid w:val="676C2CBF"/>
    <w:rsid w:val="67C046AA"/>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3E424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6563A2"/>
    <w:rsid w:val="79701A39"/>
    <w:rsid w:val="799975C1"/>
    <w:rsid w:val="79B810F6"/>
    <w:rsid w:val="7A082988"/>
    <w:rsid w:val="7A1C10FB"/>
    <w:rsid w:val="7A286937"/>
    <w:rsid w:val="7A33250D"/>
    <w:rsid w:val="7A424D7F"/>
    <w:rsid w:val="7A4D4FC3"/>
    <w:rsid w:val="7A8A4F36"/>
    <w:rsid w:val="7AB87EDD"/>
    <w:rsid w:val="7ABA7BB0"/>
    <w:rsid w:val="7ABB0624"/>
    <w:rsid w:val="7ABE78CA"/>
    <w:rsid w:val="7AC84DC1"/>
    <w:rsid w:val="7AE64B83"/>
    <w:rsid w:val="7AF42850"/>
    <w:rsid w:val="7B002162"/>
    <w:rsid w:val="7B124FB7"/>
    <w:rsid w:val="7B361A8A"/>
    <w:rsid w:val="7B4D52D4"/>
    <w:rsid w:val="7B83108A"/>
    <w:rsid w:val="7BAE5A06"/>
    <w:rsid w:val="7BDF1C40"/>
    <w:rsid w:val="7BFE2799"/>
    <w:rsid w:val="7CAB63B7"/>
    <w:rsid w:val="7CB818B8"/>
    <w:rsid w:val="7CD50713"/>
    <w:rsid w:val="7D8C5E76"/>
    <w:rsid w:val="7DA0352B"/>
    <w:rsid w:val="7DB019FA"/>
    <w:rsid w:val="7DCC7103"/>
    <w:rsid w:val="7DD2454F"/>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93646EB-E360-42F4-90F4-233B735CF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f0">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67B1CA-CC06-421B-A59F-0ADEB34C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1903</Words>
  <Characters>10851</Characters>
  <Application>Microsoft Office Word</Application>
  <DocSecurity>0</DocSecurity>
  <Lines>90</Lines>
  <Paragraphs>25</Paragraphs>
  <ScaleCrop>false</ScaleCrop>
  <Company/>
  <LinksUpToDate>false</LinksUpToDate>
  <CharactersWithSpaces>12729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7</cp:revision>
  <dcterms:created xsi:type="dcterms:W3CDTF">2022-08-11T07:33:00Z</dcterms:created>
  <dcterms:modified xsi:type="dcterms:W3CDTF">2022-08-12T13:23:00Z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